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AD" w:rsidRPr="00B33BAD" w:rsidRDefault="00B33BAD" w:rsidP="00B27174">
      <w:pPr>
        <w:widowControl w:val="0"/>
        <w:adjustRightInd w:val="0"/>
        <w:rPr>
          <w:rFonts w:ascii="Verdana" w:hAnsi="Verdana"/>
          <w:b/>
          <w:color w:val="000000" w:themeColor="text1"/>
          <w:sz w:val="20"/>
          <w:szCs w:val="20"/>
        </w:rPr>
      </w:pPr>
      <w:r w:rsidRPr="00B33BAD">
        <w:rPr>
          <w:rFonts w:ascii="Verdana" w:hAnsi="Verdana"/>
          <w:b/>
          <w:color w:val="000000" w:themeColor="text1"/>
          <w:sz w:val="20"/>
          <w:szCs w:val="20"/>
        </w:rPr>
        <w:t>Soru: Mütevatiri inkâr edenin  Hükmü nedir?</w:t>
      </w:r>
    </w:p>
    <w:p w:rsidR="00B33BAD" w:rsidRPr="00B33BAD" w:rsidRDefault="00B33BAD" w:rsidP="00B27174">
      <w:pPr>
        <w:widowControl w:val="0"/>
        <w:adjustRightInd w:val="0"/>
        <w:rPr>
          <w:rFonts w:ascii="Verdana" w:hAnsi="Verdana"/>
          <w:b/>
          <w:color w:val="000000" w:themeColor="text1"/>
          <w:sz w:val="20"/>
          <w:szCs w:val="20"/>
        </w:rPr>
      </w:pPr>
    </w:p>
    <w:p w:rsidR="005E192E" w:rsidRPr="00B33BAD" w:rsidRDefault="00B33BAD" w:rsidP="00B27174">
      <w:pPr>
        <w:widowControl w:val="0"/>
        <w:adjustRightInd w:val="0"/>
        <w:rPr>
          <w:rFonts w:ascii="Verdana" w:hAnsi="Verdana"/>
          <w:b/>
          <w:color w:val="000000" w:themeColor="text1"/>
          <w:sz w:val="20"/>
          <w:szCs w:val="20"/>
        </w:rPr>
      </w:pPr>
      <w:r w:rsidRPr="00B33BAD">
        <w:rPr>
          <w:rFonts w:ascii="Verdana" w:hAnsi="Verdana"/>
          <w:b/>
          <w:color w:val="000000" w:themeColor="text1"/>
          <w:sz w:val="20"/>
          <w:szCs w:val="20"/>
        </w:rPr>
        <w:t>Cevab:</w:t>
      </w:r>
      <w:r w:rsidR="005E192E" w:rsidRPr="00B33BAD">
        <w:rPr>
          <w:rFonts w:ascii="Verdana" w:hAnsi="Verdana"/>
          <w:b/>
          <w:color w:val="000000" w:themeColor="text1"/>
          <w:sz w:val="20"/>
          <w:szCs w:val="20"/>
        </w:rPr>
        <w:t>Mütevatir;Büyük bir  cemaat tarafından  nakledilmiş olup, yalana ittifakları muhal olan hadislerdir.</w:t>
      </w:r>
    </w:p>
    <w:p w:rsidR="00624ECC" w:rsidRDefault="00B33BAD" w:rsidP="00B27174">
      <w:pPr>
        <w:widowControl w:val="0"/>
        <w:adjustRightInd w:val="0"/>
        <w:rPr>
          <w:rFonts w:ascii="Verdana" w:hAnsi="Verdana"/>
          <w:b/>
          <w:color w:val="000000" w:themeColor="text1"/>
          <w:sz w:val="20"/>
          <w:szCs w:val="20"/>
        </w:rPr>
      </w:pPr>
      <w:r w:rsidRPr="00B33BAD">
        <w:rPr>
          <w:rFonts w:ascii="Verdana" w:hAnsi="Verdana"/>
          <w:b/>
          <w:color w:val="000000" w:themeColor="text1"/>
          <w:sz w:val="20"/>
          <w:szCs w:val="20"/>
        </w:rPr>
        <w:t>Hadisde:”</w:t>
      </w:r>
      <w:r w:rsidR="00624ECC" w:rsidRPr="00B33BAD">
        <w:rPr>
          <w:rFonts w:ascii="Verdana" w:hAnsi="Verdana"/>
          <w:b/>
          <w:color w:val="000000" w:themeColor="text1"/>
          <w:sz w:val="20"/>
          <w:szCs w:val="20"/>
        </w:rPr>
        <w:t>Kim bile bile benim söylemediğim birşeyi söylemişim gibi uydursa, cehennemdeki yerine hazırlansın.</w:t>
      </w:r>
      <w:r w:rsidR="00C71A1C">
        <w:rPr>
          <w:rFonts w:ascii="Verdana" w:hAnsi="Verdana"/>
          <w:b/>
          <w:color w:val="000000" w:themeColor="text1"/>
          <w:sz w:val="20"/>
          <w:szCs w:val="20"/>
        </w:rPr>
        <w:t>”</w:t>
      </w:r>
      <w:bookmarkStart w:id="0" w:name="_GoBack"/>
      <w:bookmarkEnd w:id="0"/>
      <w:r w:rsidR="00C71A1C">
        <w:rPr>
          <w:rStyle w:val="DipnotBavurusu"/>
          <w:rFonts w:ascii="Verdana" w:hAnsi="Verdana"/>
          <w:b/>
          <w:color w:val="000000" w:themeColor="text1"/>
          <w:sz w:val="20"/>
          <w:szCs w:val="20"/>
        </w:rPr>
        <w:footnoteReference w:id="1"/>
      </w:r>
    </w:p>
    <w:p w:rsidR="00075D4B" w:rsidRPr="00B33BAD" w:rsidRDefault="00075D4B" w:rsidP="00B27174">
      <w:pPr>
        <w:widowControl w:val="0"/>
        <w:adjustRightInd w:val="0"/>
        <w:rPr>
          <w:rFonts w:ascii="Verdana" w:hAnsi="Verdana" w:cs="Segoe UI"/>
          <w:b/>
          <w:color w:val="000000" w:themeColor="text1"/>
          <w:sz w:val="20"/>
          <w:szCs w:val="20"/>
        </w:rPr>
      </w:pPr>
      <w:r>
        <w:rPr>
          <w:rFonts w:ascii="Verdana" w:hAnsi="Verdana"/>
          <w:b/>
          <w:color w:val="000000" w:themeColor="text1"/>
          <w:sz w:val="20"/>
          <w:szCs w:val="20"/>
        </w:rPr>
        <w:t>Mütevatir hadisleri inkâr edenlerin küfrüne kail olan alimler,çoğunlukla bu hadise istinad etmektedirler.Zira sahebeler tamamen adil,doğru kişiler olup,yalandan sakındıklarından,doğruyu nakletmişlerdir.</w:t>
      </w:r>
    </w:p>
    <w:p w:rsidR="00624ECC" w:rsidRPr="00B33BAD" w:rsidRDefault="00624ECC" w:rsidP="00B27174">
      <w:pPr>
        <w:widowControl w:val="0"/>
        <w:adjustRightInd w:val="0"/>
        <w:rPr>
          <w:rFonts w:ascii="Verdana" w:hAnsi="Verdana" w:cs="Segoe UI"/>
          <w:b/>
          <w:color w:val="000000" w:themeColor="text1"/>
          <w:sz w:val="20"/>
          <w:szCs w:val="20"/>
        </w:rPr>
      </w:pPr>
    </w:p>
    <w:p w:rsidR="00C71A1C" w:rsidRDefault="00B27174" w:rsidP="00B27174">
      <w:pPr>
        <w:widowControl w:val="0"/>
        <w:adjustRightInd w:val="0"/>
        <w:rPr>
          <w:rFonts w:ascii="Verdana" w:hAnsi="Verdana" w:cs="Arial"/>
          <w:b/>
          <w:color w:val="000000" w:themeColor="text1"/>
          <w:sz w:val="20"/>
          <w:szCs w:val="20"/>
        </w:rPr>
      </w:pPr>
      <w:r w:rsidRPr="00B33BAD">
        <w:rPr>
          <w:rFonts w:ascii="Verdana" w:hAnsi="Verdana" w:cs="Segoe UI"/>
          <w:b/>
          <w:color w:val="000000" w:themeColor="text1"/>
          <w:sz w:val="20"/>
          <w:szCs w:val="20"/>
        </w:rPr>
        <w:t>”</w:t>
      </w:r>
      <w:r w:rsidRPr="00B33BAD">
        <w:rPr>
          <w:rFonts w:ascii="Verdana" w:hAnsi="Verdana" w:cs="Arial"/>
          <w:b/>
          <w:color w:val="000000" w:themeColor="text1"/>
          <w:sz w:val="20"/>
          <w:szCs w:val="20"/>
        </w:rPr>
        <w:t>İmam Serahsî, mütevâtir hadisin hükmü ile alâkalı olarak “Bizim mezhep alimlerimize göre tevâtür ile sabit olan haber zarurî ilim ifade eder.”</w:t>
      </w:r>
      <w:r w:rsidR="00075D4B">
        <w:rPr>
          <w:rFonts w:ascii="Verdana" w:hAnsi="Verdana" w:cs="Arial"/>
          <w:b/>
          <w:color w:val="000000" w:themeColor="text1"/>
          <w:sz w:val="20"/>
          <w:szCs w:val="20"/>
        </w:rPr>
        <w:t xml:space="preserve"> </w:t>
      </w:r>
      <w:r w:rsidRPr="00B33BAD">
        <w:rPr>
          <w:rFonts w:ascii="Verdana" w:hAnsi="Verdana" w:cs="Arial"/>
          <w:b/>
          <w:color w:val="000000" w:themeColor="text1"/>
          <w:sz w:val="20"/>
          <w:szCs w:val="20"/>
        </w:rPr>
        <w:t>demektedir.</w:t>
      </w:r>
      <w:r w:rsidR="00C71A1C">
        <w:rPr>
          <w:rFonts w:ascii="Verdana" w:hAnsi="Verdana" w:cs="Arial"/>
          <w:b/>
          <w:color w:val="000000" w:themeColor="text1"/>
          <w:sz w:val="20"/>
          <w:szCs w:val="20"/>
        </w:rPr>
        <w:t>”</w:t>
      </w:r>
      <w:r w:rsidRPr="00B33BAD">
        <w:rPr>
          <w:rFonts w:ascii="Verdana" w:hAnsi="Verdana" w:cs="Arial"/>
          <w:b/>
          <w:color w:val="000000" w:themeColor="text1"/>
          <w:sz w:val="20"/>
          <w:szCs w:val="20"/>
        </w:rPr>
        <w:br/>
      </w:r>
      <w:r w:rsidRPr="00B33BAD">
        <w:rPr>
          <w:rFonts w:ascii="Verdana" w:hAnsi="Verdana" w:cs="Arial"/>
          <w:b/>
          <w:color w:val="000000" w:themeColor="text1"/>
          <w:sz w:val="20"/>
          <w:szCs w:val="20"/>
        </w:rPr>
        <w:br/>
      </w:r>
      <w:r w:rsidR="00C71A1C">
        <w:rPr>
          <w:rFonts w:ascii="Verdana" w:hAnsi="Verdana" w:cs="Arial"/>
          <w:b/>
          <w:color w:val="000000" w:themeColor="text1"/>
          <w:sz w:val="20"/>
          <w:szCs w:val="20"/>
        </w:rPr>
        <w:t>“</w:t>
      </w:r>
      <w:r w:rsidRPr="00B33BAD">
        <w:rPr>
          <w:rFonts w:ascii="Verdana" w:hAnsi="Verdana" w:cs="Arial"/>
          <w:b/>
          <w:color w:val="000000" w:themeColor="text1"/>
          <w:sz w:val="20"/>
          <w:szCs w:val="20"/>
        </w:rPr>
        <w:t xml:space="preserve">Hücciyyetü’s-Sünne müellifi, hadisin şer’î delil olma özelliğinden bahsederken, “Mütevâtir haberi inkâr eden, orada Allah Resûlü’nden (s.a.s) gelen bir şeyi inkâr ettiği için, yani din ifade eden bir şeyi inkârından dolayı küfre girmiş olur. Yoksa Bağdat’ın varlığını inkâr eden kimse niye küfre girsin ki!" </w:t>
      </w:r>
      <w:r w:rsidRPr="00B33BAD">
        <w:rPr>
          <w:rFonts w:ascii="Verdana" w:hAnsi="Verdana" w:cs="Arial"/>
          <w:b/>
          <w:color w:val="000000" w:themeColor="text1"/>
          <w:sz w:val="20"/>
          <w:szCs w:val="20"/>
        </w:rPr>
        <w:br/>
      </w:r>
      <w:r w:rsidRPr="00B33BAD">
        <w:rPr>
          <w:rFonts w:ascii="Verdana" w:hAnsi="Verdana" w:cs="Arial"/>
          <w:b/>
          <w:color w:val="000000" w:themeColor="text1"/>
          <w:sz w:val="20"/>
          <w:szCs w:val="20"/>
        </w:rPr>
        <w:br/>
      </w:r>
      <w:r w:rsidR="00C71A1C">
        <w:rPr>
          <w:rFonts w:ascii="Verdana" w:hAnsi="Verdana" w:cs="Arial"/>
          <w:b/>
          <w:color w:val="000000" w:themeColor="text1"/>
          <w:sz w:val="20"/>
          <w:szCs w:val="20"/>
        </w:rPr>
        <w:t>-“</w:t>
      </w:r>
      <w:r w:rsidRPr="00B33BAD">
        <w:rPr>
          <w:rFonts w:ascii="Verdana" w:hAnsi="Verdana" w:cs="Arial"/>
          <w:b/>
          <w:color w:val="000000" w:themeColor="text1"/>
          <w:sz w:val="20"/>
          <w:szCs w:val="20"/>
        </w:rPr>
        <w:t>Fahru’l-İslâm Pezdevî, mütevâtir hadis olarak tesbit edilen bir haberi inkâr edenin ve bu habere muhalif hareket eden kimsenin küfre düşeceğini ifade eder.</w:t>
      </w:r>
    </w:p>
    <w:p w:rsidR="00B27174" w:rsidRPr="00B33BAD" w:rsidRDefault="00B27174" w:rsidP="00B27174">
      <w:pPr>
        <w:widowControl w:val="0"/>
        <w:adjustRightInd w:val="0"/>
        <w:rPr>
          <w:rFonts w:ascii="Verdana" w:hAnsi="Verdana" w:cs="Arial"/>
          <w:b/>
          <w:color w:val="000000" w:themeColor="text1"/>
          <w:sz w:val="20"/>
          <w:szCs w:val="20"/>
        </w:rPr>
      </w:pPr>
      <w:r w:rsidRPr="00B33BAD">
        <w:rPr>
          <w:rFonts w:ascii="Verdana" w:hAnsi="Verdana" w:cs="Arial"/>
          <w:b/>
          <w:color w:val="000000" w:themeColor="text1"/>
          <w:sz w:val="20"/>
          <w:szCs w:val="20"/>
        </w:rPr>
        <w:lastRenderedPageBreak/>
        <w:t>Yine el-Kâsımî, mütevâtir haberler ile amel etmenin zorunlu olduğunu çünkü bu haberlerin ilm-i zarurî ifade ettiğini belirtir.”</w:t>
      </w:r>
      <w:r w:rsidR="00C71A1C">
        <w:rPr>
          <w:rStyle w:val="DipnotBavurusu"/>
          <w:rFonts w:ascii="Verdana" w:hAnsi="Verdana" w:cs="Arial"/>
          <w:b/>
          <w:color w:val="000000" w:themeColor="text1"/>
          <w:sz w:val="20"/>
          <w:szCs w:val="20"/>
        </w:rPr>
        <w:footnoteReference w:id="2"/>
      </w:r>
    </w:p>
    <w:p w:rsidR="00B27174" w:rsidRPr="00B33BAD" w:rsidRDefault="00B27174" w:rsidP="00B27174">
      <w:pPr>
        <w:widowControl w:val="0"/>
        <w:adjustRightInd w:val="0"/>
        <w:rPr>
          <w:rStyle w:val="textitalic"/>
          <w:rFonts w:ascii="Verdana" w:hAnsi="Verdana" w:cs="Arial"/>
          <w:b/>
          <w:color w:val="000000" w:themeColor="text1"/>
          <w:sz w:val="20"/>
          <w:szCs w:val="20"/>
        </w:rPr>
      </w:pPr>
    </w:p>
    <w:p w:rsidR="00D30C39" w:rsidRPr="00B33BAD" w:rsidRDefault="00D30C39">
      <w:pPr>
        <w:rPr>
          <w:rFonts w:ascii="Verdana" w:hAnsi="Verdana"/>
          <w:b/>
          <w:color w:val="000000" w:themeColor="text1"/>
          <w:sz w:val="20"/>
          <w:szCs w:val="20"/>
        </w:rPr>
      </w:pPr>
      <w:r w:rsidRPr="00B33BAD">
        <w:rPr>
          <w:rFonts w:ascii="Verdana" w:hAnsi="Verdana"/>
          <w:b/>
          <w:color w:val="000000" w:themeColor="text1"/>
          <w:sz w:val="20"/>
          <w:szCs w:val="20"/>
        </w:rPr>
        <w:t>*Mütevatir hadisi inkâr konusunda büyük bir ulema küfrü konusunda icma etmişlerdir.</w:t>
      </w:r>
    </w:p>
    <w:p w:rsidR="00D30C39" w:rsidRPr="00B33BAD" w:rsidRDefault="00D30C39">
      <w:pPr>
        <w:rPr>
          <w:rFonts w:ascii="Verdana" w:hAnsi="Verdana"/>
          <w:b/>
          <w:color w:val="000000" w:themeColor="text1"/>
          <w:sz w:val="20"/>
          <w:szCs w:val="20"/>
        </w:rPr>
      </w:pPr>
      <w:r w:rsidRPr="00B33BAD">
        <w:rPr>
          <w:rFonts w:ascii="Verdana" w:hAnsi="Verdana"/>
          <w:b/>
          <w:color w:val="000000" w:themeColor="text1"/>
          <w:sz w:val="20"/>
          <w:szCs w:val="20"/>
        </w:rPr>
        <w:t>Eğer bu mütevatir hadis bir de Kur’an-da anlatılan bir konu ile de ilgili ise,bu konuda yoruma gerek kalmamaktadır.</w:t>
      </w:r>
    </w:p>
    <w:p w:rsidR="00D30C39" w:rsidRPr="00B33BAD" w:rsidRDefault="00D30C39">
      <w:pPr>
        <w:rPr>
          <w:rFonts w:ascii="Verdana" w:hAnsi="Verdana"/>
          <w:b/>
          <w:color w:val="000000" w:themeColor="text1"/>
          <w:sz w:val="20"/>
          <w:szCs w:val="20"/>
        </w:rPr>
      </w:pPr>
      <w:r w:rsidRPr="00B33BAD">
        <w:rPr>
          <w:rFonts w:ascii="Verdana" w:hAnsi="Verdana"/>
          <w:b/>
          <w:color w:val="000000" w:themeColor="text1"/>
          <w:sz w:val="20"/>
          <w:szCs w:val="20"/>
        </w:rPr>
        <w:t>Eğer bu mütevatiri ink</w:t>
      </w:r>
      <w:r w:rsidR="00075D4B">
        <w:rPr>
          <w:rFonts w:ascii="Verdana" w:hAnsi="Verdana"/>
          <w:b/>
          <w:color w:val="000000" w:themeColor="text1"/>
          <w:sz w:val="20"/>
          <w:szCs w:val="20"/>
        </w:rPr>
        <w:t>â</w:t>
      </w:r>
      <w:r w:rsidRPr="00B33BAD">
        <w:rPr>
          <w:rFonts w:ascii="Verdana" w:hAnsi="Verdana"/>
          <w:b/>
          <w:color w:val="000000" w:themeColor="text1"/>
          <w:sz w:val="20"/>
          <w:szCs w:val="20"/>
        </w:rPr>
        <w:t>r</w:t>
      </w:r>
      <w:r w:rsidR="00075D4B">
        <w:rPr>
          <w:rFonts w:ascii="Verdana" w:hAnsi="Verdana"/>
          <w:b/>
          <w:color w:val="000000" w:themeColor="text1"/>
          <w:sz w:val="20"/>
          <w:szCs w:val="20"/>
        </w:rPr>
        <w:t>;</w:t>
      </w:r>
      <w:r w:rsidRPr="00B33BAD">
        <w:rPr>
          <w:rFonts w:ascii="Verdana" w:hAnsi="Verdana"/>
          <w:b/>
          <w:color w:val="000000" w:themeColor="text1"/>
          <w:sz w:val="20"/>
          <w:szCs w:val="20"/>
        </w:rPr>
        <w:t xml:space="preserve"> inad ve inkardan kaynaklanıyor ise küfrü ve büyük bir tehlikeyi doğurmuş olur.</w:t>
      </w:r>
    </w:p>
    <w:p w:rsidR="00265863" w:rsidRPr="00B33BAD" w:rsidRDefault="00265863">
      <w:pPr>
        <w:rPr>
          <w:rFonts w:ascii="Verdana" w:hAnsi="Verdana"/>
          <w:b/>
          <w:color w:val="000000" w:themeColor="text1"/>
          <w:sz w:val="20"/>
          <w:szCs w:val="20"/>
        </w:rPr>
      </w:pPr>
      <w:r w:rsidRPr="00B33BAD">
        <w:rPr>
          <w:rFonts w:ascii="Verdana" w:hAnsi="Verdana"/>
          <w:b/>
          <w:color w:val="000000" w:themeColor="text1"/>
          <w:sz w:val="20"/>
          <w:szCs w:val="20"/>
        </w:rPr>
        <w:t>Bir insanın küfrüne kail olmak kolay değildir.Sarih bir işaret olması gerekir.</w:t>
      </w:r>
    </w:p>
    <w:p w:rsidR="00265863" w:rsidRPr="00B33BAD" w:rsidRDefault="00265863">
      <w:pPr>
        <w:rPr>
          <w:rFonts w:ascii="Verdana" w:hAnsi="Verdana"/>
          <w:b/>
          <w:color w:val="000000" w:themeColor="text1"/>
          <w:sz w:val="20"/>
          <w:szCs w:val="20"/>
        </w:rPr>
      </w:pPr>
      <w:r w:rsidRPr="00B33BAD">
        <w:rPr>
          <w:rFonts w:ascii="Verdana" w:hAnsi="Verdana"/>
          <w:b/>
          <w:color w:val="000000" w:themeColor="text1"/>
          <w:sz w:val="20"/>
          <w:szCs w:val="20"/>
        </w:rPr>
        <w:t>İşte bu da saydığımız sebeblerden ise küfrü sarihtir.Cehaletten kaynaklanan bir sebebden dolayı ise,kurtulma ihtimali olarak düşünülebilir.</w:t>
      </w:r>
    </w:p>
    <w:p w:rsidR="005773F6" w:rsidRPr="00B33BAD" w:rsidRDefault="005773F6">
      <w:pPr>
        <w:rPr>
          <w:rFonts w:ascii="Verdana" w:hAnsi="Verdana"/>
          <w:b/>
          <w:color w:val="000000" w:themeColor="text1"/>
          <w:sz w:val="20"/>
          <w:szCs w:val="20"/>
        </w:rPr>
      </w:pPr>
      <w:r w:rsidRPr="00B33BAD">
        <w:rPr>
          <w:rFonts w:ascii="Verdana" w:hAnsi="Verdana"/>
          <w:b/>
          <w:color w:val="000000" w:themeColor="text1"/>
          <w:sz w:val="20"/>
          <w:szCs w:val="20"/>
        </w:rPr>
        <w:t xml:space="preserve">Mesela:” melâikelerin Resul-i Ekrem Aleyhissalâtü Vesselâma hizmeti ve görünmesi ve cinnîlerin ona İmân ve itaati,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dir. Nass-ı Kur'ân ve çok âyatla musarrahtır. Gazve-i Bedir'de beş bin melâike, nass-ı Kur'ân ile, önde, Sahabeler gibi ona hizmet edip asker olmuşlar. Hattâ o melekler, melâikeler içinde, Ashab-ı Bedir gibi şeref kazanmışlar.”</w:t>
      </w:r>
      <w:r w:rsidRPr="00B33BAD">
        <w:rPr>
          <w:rStyle w:val="DipnotBavurusu"/>
          <w:rFonts w:ascii="Verdana" w:hAnsi="Verdana"/>
          <w:b/>
          <w:color w:val="000000" w:themeColor="text1"/>
          <w:sz w:val="20"/>
          <w:szCs w:val="20"/>
        </w:rPr>
        <w:footnoteReference w:id="3"/>
      </w:r>
    </w:p>
    <w:p w:rsidR="00440C8B" w:rsidRPr="00B33BAD" w:rsidRDefault="00440C8B">
      <w:pPr>
        <w:rPr>
          <w:rFonts w:ascii="Verdana" w:hAnsi="Verdana"/>
          <w:b/>
          <w:color w:val="000000" w:themeColor="text1"/>
          <w:sz w:val="20"/>
          <w:szCs w:val="20"/>
        </w:rPr>
      </w:pPr>
      <w:r w:rsidRPr="00B33BAD">
        <w:rPr>
          <w:rFonts w:ascii="Verdana" w:hAnsi="Verdana"/>
          <w:b/>
          <w:color w:val="000000" w:themeColor="text1"/>
          <w:sz w:val="20"/>
          <w:szCs w:val="20"/>
        </w:rPr>
        <w:tab/>
      </w:r>
    </w:p>
    <w:p w:rsidR="00440C8B" w:rsidRPr="00B33BAD" w:rsidRDefault="00440C8B">
      <w:pPr>
        <w:rPr>
          <w:rFonts w:ascii="Verdana" w:hAnsi="Verdana"/>
          <w:b/>
          <w:color w:val="000000" w:themeColor="text1"/>
          <w:sz w:val="20"/>
          <w:szCs w:val="20"/>
        </w:rPr>
      </w:pPr>
      <w:r w:rsidRPr="00B33BAD">
        <w:rPr>
          <w:rFonts w:ascii="Verdana" w:hAnsi="Verdana"/>
          <w:b/>
          <w:color w:val="000000" w:themeColor="text1"/>
          <w:sz w:val="20"/>
          <w:szCs w:val="20"/>
        </w:rPr>
        <w:t>Cehaletten kaynaklanan inkar ile kasıt elbette bir değildir.Mesela:</w:t>
      </w:r>
    </w:p>
    <w:p w:rsidR="00440C8B" w:rsidRPr="00B33BAD" w:rsidRDefault="00440C8B" w:rsidP="00440C8B">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“Bir sual: Deniliyor ki: "Sen çok şeylere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dersin. Halbuki biz onların çoğunu yeni işitiyoruz.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birşey böyle gizli kalmaz." </w:t>
      </w:r>
    </w:p>
    <w:p w:rsidR="00440C8B" w:rsidRPr="00B33BAD" w:rsidRDefault="00440C8B" w:rsidP="00440C8B">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Elcevap: Ulema-i şeriat yanında çok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ve bedihî şeyler var ki, onlardan olmayana göre meçhuldür. Ehl-i hadis yanında da çok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var, sairlerin yanında âhâdî de olmuyor. Ve hâkezâ, her fennin ehl-i ihtisası, o fenne göre bedihiyâtı, nazariyâtı beyan edilir. Umum halk ise, o fennin ehl-i ihtisasına itimad eder, teslim olur veya içine girer, görür. </w:t>
      </w:r>
    </w:p>
    <w:p w:rsidR="00440C8B" w:rsidRPr="00B33BAD" w:rsidRDefault="00440C8B" w:rsidP="00440C8B">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Şimdi, haber verdiğimiz hakikî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veya mânevî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veya tevatür hükmünde katiyeti ifade eden vakıalar, hem ehl-i hadis, hem ehl-i şeriat, hem ehl-i usulü'd din, hem ekser tabakat-ı ulemada hükmünü öyle göstermiş. Gaflette bulunan avam veya gözünü kapayan nâdanlar bilmezlerse, kabahat onlara aittir.”</w:t>
      </w:r>
      <w:r w:rsidRPr="00B33BAD">
        <w:rPr>
          <w:rStyle w:val="DipnotBavurusu"/>
          <w:rFonts w:ascii="Verdana" w:hAnsi="Verdana"/>
          <w:b/>
          <w:color w:val="000000" w:themeColor="text1"/>
          <w:sz w:val="20"/>
          <w:szCs w:val="20"/>
        </w:rPr>
        <w:footnoteReference w:id="4"/>
      </w:r>
      <w:r w:rsidRPr="00B33BAD">
        <w:rPr>
          <w:rFonts w:ascii="Verdana" w:hAnsi="Verdana"/>
          <w:b/>
          <w:color w:val="000000" w:themeColor="text1"/>
          <w:sz w:val="20"/>
          <w:szCs w:val="20"/>
        </w:rPr>
        <w:t xml:space="preserve"> </w:t>
      </w:r>
    </w:p>
    <w:p w:rsidR="00BD5085" w:rsidRPr="00B33BAD" w:rsidRDefault="00BD5085" w:rsidP="00440C8B">
      <w:pPr>
        <w:pStyle w:val="NormalWeb"/>
        <w:rPr>
          <w:rFonts w:ascii="Verdana" w:hAnsi="Verdana"/>
          <w:b/>
          <w:color w:val="000000" w:themeColor="text1"/>
          <w:sz w:val="20"/>
          <w:szCs w:val="20"/>
        </w:rPr>
      </w:pPr>
      <w:r w:rsidRPr="00B33BAD">
        <w:rPr>
          <w:rFonts w:ascii="Verdana" w:hAnsi="Verdana"/>
          <w:b/>
          <w:color w:val="000000" w:themeColor="text1"/>
          <w:sz w:val="20"/>
          <w:szCs w:val="20"/>
        </w:rPr>
        <w:t>Birde hadisin başka manalara dela</w:t>
      </w:r>
      <w:r w:rsidR="00075D4B">
        <w:rPr>
          <w:rFonts w:ascii="Verdana" w:hAnsi="Verdana"/>
          <w:b/>
          <w:color w:val="000000" w:themeColor="text1"/>
          <w:sz w:val="20"/>
          <w:szCs w:val="20"/>
        </w:rPr>
        <w:t>le</w:t>
      </w:r>
      <w:r w:rsidRPr="00B33BAD">
        <w:rPr>
          <w:rFonts w:ascii="Verdana" w:hAnsi="Verdana"/>
          <w:b/>
          <w:color w:val="000000" w:themeColor="text1"/>
          <w:sz w:val="20"/>
          <w:szCs w:val="20"/>
        </w:rPr>
        <w:t>tinden kaynaklanan bir sebebe binaen aynen kabul edilmiyor veya başka manalar veriliyorsa,buda bir kusur olmakla beraber küfrü gerektirecek bir durum değildir.</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Şöyle</w:t>
      </w:r>
      <w:r w:rsidR="00075D4B">
        <w:rPr>
          <w:rFonts w:ascii="Verdana" w:hAnsi="Verdana"/>
          <w:b/>
          <w:color w:val="000000" w:themeColor="text1"/>
          <w:sz w:val="20"/>
          <w:szCs w:val="20"/>
        </w:rPr>
        <w:t xml:space="preserve"> </w:t>
      </w:r>
      <w:r w:rsidRPr="00B33BAD">
        <w:rPr>
          <w:rFonts w:ascii="Verdana" w:hAnsi="Verdana"/>
          <w:b/>
          <w:color w:val="000000" w:themeColor="text1"/>
          <w:sz w:val="20"/>
          <w:szCs w:val="20"/>
        </w:rPr>
        <w:t xml:space="preserve">ki:” Sual: Kur'an, zaruriyat-ı diniyedendir. Zaruriyatta ihtilaf olamaz. Halbuki müfessirlerce verilen ayrı ayrı manaların bir kısmı birbirine muhaliftir.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Cevap: Azizim! Kur'an'ın herbir kelamı, üç kaziyeyi müştemildir.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Birincisi: Bu, Allah'ın kelamıdır.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İkincisi: Allah'ca murad olan mana, haktır.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lastRenderedPageBreak/>
        <w:t xml:space="preserve">Üçüncüsü: Mana-yı murad, budur.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Eğer Kur'an'ın o kelamı, başka bir manaya ihtimali olmayan muhkemattan olursa veya Kur'an'ın başka bir yerinde beyan edilmişse, birinci ve ikinci kaziyeleri aynen kabul etmek lazımdır ve inkarları da küfürdür. Şayet Kur'an'ın o kelamı, başka bir manaya ihtimali olan bir nass veya zahir olursa, üçüncü kaziyeyi kabul etmek lazım olmadığı gibi, inkarı da küfür değildir. İşte, müfessirlerin ihtilafları, ancak ve ancak şu kısma aittir. </w:t>
      </w:r>
    </w:p>
    <w:p w:rsidR="00BD5085" w:rsidRPr="00B33BAD" w:rsidRDefault="00BD5085" w:rsidP="00BD5085">
      <w:pPr>
        <w:pStyle w:val="NormalWeb"/>
        <w:rPr>
          <w:rFonts w:ascii="Verdana" w:hAnsi="Verdana"/>
          <w:b/>
          <w:color w:val="000000" w:themeColor="text1"/>
          <w:sz w:val="20"/>
          <w:szCs w:val="20"/>
        </w:rPr>
      </w:pPr>
      <w:r w:rsidRPr="00B33BAD">
        <w:rPr>
          <w:rFonts w:ascii="Verdana" w:hAnsi="Verdana"/>
          <w:b/>
          <w:color w:val="000000" w:themeColor="text1"/>
          <w:sz w:val="20"/>
          <w:szCs w:val="20"/>
        </w:rPr>
        <w:t xml:space="preserve">İhtar: </w:t>
      </w:r>
      <w:r w:rsidRPr="00B33BAD">
        <w:rPr>
          <w:rFonts w:ascii="Verdana" w:hAnsi="Verdana"/>
          <w:b/>
          <w:bCs/>
          <w:color w:val="000000" w:themeColor="text1"/>
          <w:sz w:val="20"/>
          <w:szCs w:val="20"/>
          <w:u w:val="single"/>
        </w:rPr>
        <w:t>Mütevatir</w:t>
      </w:r>
      <w:r w:rsidRPr="00B33BAD">
        <w:rPr>
          <w:rFonts w:ascii="Verdana" w:hAnsi="Verdana"/>
          <w:b/>
          <w:color w:val="000000" w:themeColor="text1"/>
          <w:sz w:val="20"/>
          <w:szCs w:val="20"/>
        </w:rPr>
        <w:t xml:space="preserve"> hadisler de, bu hususta, ayetler gibidir. Yalnız birinci kaziye, teemmül yeridir. Çünkü -Hâza- ile işaret edilen hadisin hakikaten hadis olup olmadığında tereddüt yeri vardır. </w:t>
      </w:r>
      <w:r w:rsidR="00CF19DE" w:rsidRPr="00B33BAD">
        <w:rPr>
          <w:rFonts w:ascii="Verdana" w:hAnsi="Verdana"/>
          <w:b/>
          <w:color w:val="000000" w:themeColor="text1"/>
          <w:sz w:val="20"/>
          <w:szCs w:val="20"/>
        </w:rPr>
        <w:t>“</w:t>
      </w:r>
      <w:r w:rsidR="00CF19DE" w:rsidRPr="00B33BAD">
        <w:rPr>
          <w:rStyle w:val="DipnotBavurusu"/>
          <w:rFonts w:ascii="Verdana" w:hAnsi="Verdana"/>
          <w:b/>
          <w:color w:val="000000" w:themeColor="text1"/>
          <w:sz w:val="20"/>
          <w:szCs w:val="20"/>
        </w:rPr>
        <w:footnoteReference w:id="5"/>
      </w:r>
    </w:p>
    <w:p w:rsidR="00BD5085" w:rsidRPr="00B33BAD" w:rsidRDefault="00665013" w:rsidP="00665013">
      <w:pPr>
        <w:pStyle w:val="NormalWeb"/>
        <w:jc w:val="right"/>
        <w:rPr>
          <w:rFonts w:ascii="Verdana" w:hAnsi="Verdana"/>
          <w:b/>
          <w:color w:val="000000" w:themeColor="text1"/>
          <w:sz w:val="20"/>
          <w:szCs w:val="20"/>
        </w:rPr>
      </w:pPr>
      <w:r>
        <w:rPr>
          <w:rFonts w:ascii="Verdana" w:hAnsi="Verdana"/>
          <w:b/>
          <w:color w:val="000000" w:themeColor="text1"/>
          <w:sz w:val="20"/>
          <w:szCs w:val="20"/>
        </w:rPr>
        <w:t>MEHMET ÖZÇELİK</w:t>
      </w:r>
    </w:p>
    <w:p w:rsidR="00440C8B" w:rsidRPr="00B33BAD" w:rsidRDefault="00440C8B">
      <w:pPr>
        <w:rPr>
          <w:rFonts w:ascii="Verdana" w:hAnsi="Verdana"/>
          <w:b/>
          <w:color w:val="000000" w:themeColor="text1"/>
          <w:sz w:val="20"/>
          <w:szCs w:val="20"/>
        </w:rPr>
      </w:pPr>
    </w:p>
    <w:p w:rsidR="00440C8B" w:rsidRPr="00B33BAD" w:rsidRDefault="00440C8B">
      <w:pPr>
        <w:rPr>
          <w:rFonts w:ascii="Verdana" w:hAnsi="Verdana"/>
          <w:b/>
          <w:color w:val="000000" w:themeColor="text1"/>
          <w:sz w:val="20"/>
          <w:szCs w:val="20"/>
        </w:rPr>
      </w:pPr>
    </w:p>
    <w:sectPr w:rsidR="00440C8B" w:rsidRPr="00B33BAD" w:rsidSect="006876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E3" w:rsidRDefault="007B19E3" w:rsidP="005773F6">
      <w:r>
        <w:separator/>
      </w:r>
    </w:p>
  </w:endnote>
  <w:endnote w:type="continuationSeparator" w:id="0">
    <w:p w:rsidR="007B19E3" w:rsidRDefault="007B19E3" w:rsidP="00577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E3" w:rsidRDefault="007B19E3" w:rsidP="005773F6">
      <w:r>
        <w:separator/>
      </w:r>
    </w:p>
  </w:footnote>
  <w:footnote w:type="continuationSeparator" w:id="0">
    <w:p w:rsidR="007B19E3" w:rsidRDefault="007B19E3" w:rsidP="005773F6">
      <w:r>
        <w:continuationSeparator/>
      </w:r>
    </w:p>
  </w:footnote>
  <w:footnote w:id="1">
    <w:p w:rsidR="00C71A1C" w:rsidRPr="00E441CD" w:rsidRDefault="00C71A1C">
      <w:pPr>
        <w:pStyle w:val="DipnotMetni"/>
        <w:rPr>
          <w:rFonts w:ascii="Verdana" w:hAnsi="Verdana"/>
          <w:b/>
          <w:color w:val="000000" w:themeColor="text1"/>
          <w:sz w:val="16"/>
          <w:szCs w:val="16"/>
        </w:rPr>
      </w:pPr>
      <w:r w:rsidRPr="00E441CD">
        <w:rPr>
          <w:rStyle w:val="DipnotBavurusu"/>
          <w:rFonts w:ascii="Verdana" w:hAnsi="Verdana"/>
          <w:b/>
          <w:sz w:val="16"/>
          <w:szCs w:val="16"/>
        </w:rPr>
        <w:footnoteRef/>
      </w:r>
      <w:r w:rsidRPr="00E441CD">
        <w:rPr>
          <w:rFonts w:ascii="Verdana" w:hAnsi="Verdana"/>
          <w:b/>
          <w:sz w:val="16"/>
          <w:szCs w:val="16"/>
        </w:rPr>
        <w:t xml:space="preserve"> </w:t>
      </w:r>
      <w:r w:rsidRPr="00E441CD">
        <w:rPr>
          <w:rFonts w:ascii="Verdana" w:hAnsi="Verdana"/>
          <w:b/>
          <w:color w:val="000000" w:themeColor="text1"/>
          <w:sz w:val="16"/>
          <w:szCs w:val="16"/>
        </w:rPr>
        <w:t>Buhari, 1:38; Müslim, 1:10; En-Nazmü'-Mütenasir: Fil'l-Hadisil-</w:t>
      </w:r>
      <w:r w:rsidRPr="00E441CD">
        <w:rPr>
          <w:rFonts w:ascii="Verdana" w:hAnsi="Verdana"/>
          <w:b/>
          <w:bCs/>
          <w:color w:val="000000" w:themeColor="text1"/>
          <w:sz w:val="16"/>
          <w:szCs w:val="16"/>
          <w:u w:val="single"/>
        </w:rPr>
        <w:t>Mütevatir</w:t>
      </w:r>
      <w:r w:rsidRPr="00E441CD">
        <w:rPr>
          <w:rFonts w:ascii="Verdana" w:hAnsi="Verdana"/>
          <w:b/>
          <w:color w:val="000000" w:themeColor="text1"/>
          <w:sz w:val="16"/>
          <w:szCs w:val="16"/>
        </w:rPr>
        <w:t>, S. 20-24.</w:t>
      </w:r>
    </w:p>
    <w:p w:rsidR="00075D4B" w:rsidRPr="00E441CD" w:rsidRDefault="00075D4B" w:rsidP="00075D4B">
      <w:pPr>
        <w:widowControl w:val="0"/>
        <w:adjustRightInd w:val="0"/>
        <w:rPr>
          <w:rFonts w:ascii="Verdana" w:hAnsi="Verdana"/>
          <w:b/>
          <w:color w:val="000000" w:themeColor="text1"/>
          <w:sz w:val="16"/>
          <w:szCs w:val="16"/>
        </w:rPr>
      </w:pPr>
      <w:r w:rsidRPr="00E441CD">
        <w:rPr>
          <w:rFonts w:ascii="Verdana" w:hAnsi="Verdana"/>
          <w:b/>
          <w:color w:val="000000" w:themeColor="text1"/>
          <w:sz w:val="16"/>
          <w:szCs w:val="16"/>
        </w:rPr>
        <w:t>Hz. Ali Resulullah'ın şöyle buyurduğunu söylemiştir:</w:t>
      </w:r>
      <w:r w:rsidRPr="00E441CD">
        <w:rPr>
          <w:rFonts w:ascii="Verdana" w:hAnsi="Verdana"/>
          <w:b/>
          <w:color w:val="000000" w:themeColor="text1"/>
          <w:sz w:val="16"/>
          <w:szCs w:val="16"/>
        </w:rPr>
        <w:br/>
        <w:t>"Bana yalan isnad etmeyin. Kim bana karşı yalan uydurursa o kimse cehennem ateşine girsin.” [1]</w:t>
      </w:r>
      <w:r w:rsidRPr="00E441CD">
        <w:rPr>
          <w:rFonts w:ascii="Verdana" w:hAnsi="Verdana"/>
          <w:b/>
          <w:color w:val="000000" w:themeColor="text1"/>
          <w:sz w:val="16"/>
          <w:szCs w:val="16"/>
        </w:rPr>
        <w:br/>
        <w:t>Abdullah bin Amr'İn rivayetinde bu hadisin metni:</w:t>
      </w:r>
      <w:r w:rsidRPr="00E441CD">
        <w:rPr>
          <w:rFonts w:ascii="Verdana" w:hAnsi="Verdana"/>
          <w:b/>
          <w:color w:val="000000" w:themeColor="text1"/>
          <w:sz w:val="16"/>
          <w:szCs w:val="16"/>
        </w:rPr>
        <w:br/>
        <w:t>"Kim kasıtlı olarak bana karşı yalan uyduracak olursa, cehennem ateşinde yerini hazırlasın, " [2] şeklînde;</w:t>
      </w:r>
      <w:r w:rsidRPr="00E441CD">
        <w:rPr>
          <w:rFonts w:ascii="Verdana" w:hAnsi="Verdana"/>
          <w:b/>
          <w:color w:val="000000" w:themeColor="text1"/>
          <w:sz w:val="16"/>
          <w:szCs w:val="16"/>
        </w:rPr>
        <w:br/>
        <w:t>Abdullah bin Abbas'ın rivayetinde ise:</w:t>
      </w:r>
      <w:r w:rsidRPr="00E441CD">
        <w:rPr>
          <w:rFonts w:ascii="Verdana" w:hAnsi="Verdana"/>
          <w:b/>
          <w:color w:val="000000" w:themeColor="text1"/>
          <w:sz w:val="16"/>
          <w:szCs w:val="16"/>
        </w:rPr>
        <w:br/>
        <w:t>"Benden bildiğiniz dışında hadis nakletmekten kaçının. Kim kasıtlı olarak yalan uydurur da bana isnad edecek olursa cehennem ateşinde yerini hazırlasın” [3] şeklindedir.</w:t>
      </w:r>
      <w:r w:rsidRPr="00E441CD">
        <w:rPr>
          <w:rFonts w:ascii="Verdana" w:hAnsi="Verdana"/>
          <w:b/>
          <w:color w:val="000000" w:themeColor="text1"/>
          <w:sz w:val="16"/>
          <w:szCs w:val="16"/>
        </w:rPr>
        <w:br/>
        <w:t>Bu hadis-i şerif, Cabir bin Abdullah [4] Enes bin Malik, [5] Ebu Said el-Hudri, [6] Abdullah bin Mes'ud, [7] Ebu Hureyre [8] Mürre [9] Kays b. Sad b. Ubade, [10] Seleme bin el-Ekva, [11] Ukbe bin Amir, [12] Zeyd bin Erkam, [13] Halid bin Arfada [14] Muaviye bin Ebu Süfyan [15] Muğire bin Şu'be [16] Zübeyir bin Avam [17] gibi, çokça sahabeden rivayet edilmiştir.</w:t>
      </w:r>
      <w:r w:rsidRPr="00E441CD">
        <w:rPr>
          <w:rFonts w:ascii="Verdana" w:hAnsi="Verdana"/>
          <w:b/>
          <w:color w:val="000000" w:themeColor="text1"/>
          <w:sz w:val="16"/>
          <w:szCs w:val="16"/>
        </w:rPr>
        <w:br/>
        <w:t>Tirmizî bu hadisin Ebu Bekir, Ömer, Osman, Said bin Zeyd, Amr bin el-As, Büreyde, Ebu Musa el-Ğafiki, Ebu Umame, Abdullah bin Amr el-Mukan-na ve Evs es-Sakafi tarafından da rivayet edildiğini zikretmiştir. [18]</w:t>
      </w:r>
    </w:p>
    <w:p w:rsidR="00075D4B" w:rsidRPr="00E441CD" w:rsidRDefault="00075D4B" w:rsidP="00075D4B">
      <w:pPr>
        <w:widowControl w:val="0"/>
        <w:adjustRightInd w:val="0"/>
        <w:rPr>
          <w:rFonts w:ascii="Verdana" w:hAnsi="Verdana"/>
          <w:b/>
          <w:color w:val="000000" w:themeColor="text1"/>
          <w:sz w:val="16"/>
          <w:szCs w:val="16"/>
        </w:rPr>
      </w:pPr>
      <w:r w:rsidRPr="00E441CD">
        <w:rPr>
          <w:rFonts w:ascii="Verdana" w:hAnsi="Verdana"/>
          <w:b/>
          <w:color w:val="000000" w:themeColor="text1"/>
          <w:sz w:val="16"/>
          <w:szCs w:val="16"/>
        </w:rPr>
        <w:t>1] Buharı, Kit. İlim, bab: 38; Tirmizî, Kit. İlim, bab: 8, hn. 2660, Kit. Menakib, bab: 20, hn. 3715, îbnMace, Kit. Mukaddime, bab: 4</w:t>
      </w:r>
      <w:r w:rsidRPr="00E441CD">
        <w:rPr>
          <w:rFonts w:ascii="Verdana" w:hAnsi="Verdana"/>
          <w:b/>
          <w:color w:val="000000" w:themeColor="text1"/>
          <w:sz w:val="16"/>
          <w:szCs w:val="16"/>
        </w:rPr>
        <w:br/>
        <w:t>[2] Buharı, Kit. Enbiya, bab: 50; Tirmizî Kİt. İlim, bab: 123, hn. 2669; Müsned İmanı Ahmed, c. II, sh. 59, 171, 202, 214</w:t>
      </w:r>
      <w:r w:rsidRPr="00E441CD">
        <w:rPr>
          <w:rFonts w:ascii="Verdana" w:hAnsi="Verdana"/>
          <w:b/>
          <w:color w:val="000000" w:themeColor="text1"/>
          <w:sz w:val="16"/>
          <w:szCs w:val="16"/>
        </w:rPr>
        <w:br/>
        <w:t>[3] Tirmizî, Kit. Tefsir, sûre, 1, bab: 1, 2951; Darimi, Kit. Mukaddime, bab: 25</w:t>
      </w:r>
      <w:r w:rsidRPr="00E441CD">
        <w:rPr>
          <w:rFonts w:ascii="Verdana" w:hAnsi="Verdana"/>
          <w:b/>
          <w:color w:val="000000" w:themeColor="text1"/>
          <w:sz w:val="16"/>
          <w:szCs w:val="16"/>
        </w:rPr>
        <w:br/>
        <w:t>[4] İbn Mace, Kit. Mukaddime, Bab: 4, 33; Darimi, Kit. Mukaddime, bab: 25; Müsned İmam Ahmed, c. III, sh. 303</w:t>
      </w:r>
    </w:p>
    <w:p w:rsidR="00075D4B" w:rsidRPr="00E441CD" w:rsidRDefault="00075D4B" w:rsidP="00075D4B">
      <w:pPr>
        <w:widowControl w:val="0"/>
        <w:adjustRightInd w:val="0"/>
        <w:rPr>
          <w:rStyle w:val="textitalic"/>
          <w:rFonts w:ascii="Verdana" w:hAnsi="Verdana" w:cs="Arial"/>
          <w:b/>
          <w:color w:val="000000" w:themeColor="text1"/>
          <w:sz w:val="16"/>
          <w:szCs w:val="16"/>
        </w:rPr>
      </w:pPr>
      <w:r w:rsidRPr="00E441CD">
        <w:rPr>
          <w:rFonts w:ascii="Verdana" w:hAnsi="Verdana"/>
          <w:b/>
          <w:color w:val="000000" w:themeColor="text1"/>
          <w:sz w:val="16"/>
          <w:szCs w:val="16"/>
        </w:rPr>
        <w:t>[5] Tirmizî Kit. İlim, bab: 8, hn. 2661; îbn Mace, Kit. Mukadime, bab: 4, hn. 22; Darimi, Kit. Mukaddime, bab: 25; Müsned İmanı Ahmed, c. III, sh. 98, 113, 116, 166, 167, 176, 209, 223, 278, 280; Buhârî, Kit. İlim, Bab: 38</w:t>
      </w:r>
      <w:r w:rsidRPr="00E441CD">
        <w:rPr>
          <w:rFonts w:ascii="Verdana" w:hAnsi="Verdana"/>
          <w:b/>
          <w:color w:val="000000" w:themeColor="text1"/>
          <w:sz w:val="16"/>
          <w:szCs w:val="16"/>
        </w:rPr>
        <w:br/>
        <w:t>[6] Müslim, Kit. Zühd, bab: 72, hn. 3004; İbn Mace, Kit. Mukaddime, bab: 4, hn. 37; Müsned İmam Ahmed. c. III, sh. 39. 44, 45, 56</w:t>
      </w:r>
      <w:r w:rsidRPr="00E441CD">
        <w:rPr>
          <w:rFonts w:ascii="Verdana" w:hAnsi="Verdana"/>
          <w:b/>
          <w:color w:val="000000" w:themeColor="text1"/>
          <w:sz w:val="16"/>
          <w:szCs w:val="16"/>
        </w:rPr>
        <w:br/>
        <w:t>[7] Tirmizî, Kit. Fiten, bab: 70. hn. 2257; İbn Mace, Kit. Mukaddime, bab: 4, hn. 30</w:t>
      </w:r>
      <w:r w:rsidRPr="00E441CD">
        <w:rPr>
          <w:rFonts w:ascii="Verdana" w:hAnsi="Verdana"/>
          <w:b/>
          <w:color w:val="000000" w:themeColor="text1"/>
          <w:sz w:val="16"/>
          <w:szCs w:val="16"/>
        </w:rPr>
        <w:br/>
        <w:t>[8] Buhâri, Kit. Edeb, bab: 109; İbn Mace, Kit. Mukaddime, bab: 4, hn. 34; Müsned İmam Ahmed, c. II, sh. 410, 413, 469, 519; Buhârî, Kit. İlim, bab: 38</w:t>
      </w:r>
      <w:r w:rsidRPr="00E441CD">
        <w:rPr>
          <w:rFonts w:ascii="Verdana" w:hAnsi="Verdana"/>
          <w:b/>
          <w:color w:val="000000" w:themeColor="text1"/>
          <w:sz w:val="16"/>
          <w:szCs w:val="16"/>
        </w:rPr>
        <w:br/>
        <w:t>[9] Darimi, Kit. Mukaddime, bab: 25</w:t>
      </w:r>
      <w:r w:rsidRPr="00E441CD">
        <w:rPr>
          <w:rFonts w:ascii="Verdana" w:hAnsi="Verdana"/>
          <w:b/>
          <w:color w:val="000000" w:themeColor="text1"/>
          <w:sz w:val="16"/>
          <w:szCs w:val="16"/>
        </w:rPr>
        <w:br/>
        <w:t>[10] Müsned İmam Ahıned, c. III, sh. 422</w:t>
      </w:r>
      <w:r w:rsidRPr="00E441CD">
        <w:rPr>
          <w:rFonts w:ascii="Verdana" w:hAnsi="Verdana"/>
          <w:b/>
          <w:color w:val="000000" w:themeColor="text1"/>
          <w:sz w:val="16"/>
          <w:szCs w:val="16"/>
        </w:rPr>
        <w:br/>
        <w:t>[11] Müsned İmam Ahmed, c. IV, sh. 47</w:t>
      </w:r>
      <w:r w:rsidRPr="00E441CD">
        <w:rPr>
          <w:rFonts w:ascii="Verdana" w:hAnsi="Verdana"/>
          <w:b/>
          <w:color w:val="000000" w:themeColor="text1"/>
          <w:sz w:val="16"/>
          <w:szCs w:val="16"/>
        </w:rPr>
        <w:br/>
        <w:t>[12] Müsnetf İmam Ahmed, c. IV, sh. 156, 201</w:t>
      </w:r>
      <w:r w:rsidRPr="00E441CD">
        <w:rPr>
          <w:rFonts w:ascii="Verdana" w:hAnsi="Verdana"/>
          <w:b/>
          <w:color w:val="000000" w:themeColor="text1"/>
          <w:sz w:val="16"/>
          <w:szCs w:val="16"/>
        </w:rPr>
        <w:br/>
        <w:t>[13] Müsned İmam Ahmed, c. IV, slı. 367</w:t>
      </w:r>
      <w:r w:rsidRPr="00E441CD">
        <w:rPr>
          <w:rFonts w:ascii="Verdana" w:hAnsi="Verdana"/>
          <w:b/>
          <w:color w:val="000000" w:themeColor="text1"/>
          <w:sz w:val="16"/>
          <w:szCs w:val="16"/>
        </w:rPr>
        <w:br/>
        <w:t>[14] Müsned İmam Ahmed, c. V, slı. 292</w:t>
      </w:r>
      <w:r w:rsidRPr="00E441CD">
        <w:rPr>
          <w:rFonts w:ascii="Verdana" w:hAnsi="Verdana"/>
          <w:b/>
          <w:color w:val="000000" w:themeColor="text1"/>
          <w:sz w:val="16"/>
          <w:szCs w:val="16"/>
        </w:rPr>
        <w:br/>
        <w:t>[15] Müsned İmam Ahıned, c. IV, sh. 100</w:t>
      </w:r>
      <w:r w:rsidRPr="00E441CD">
        <w:rPr>
          <w:rFonts w:ascii="Verdana" w:hAnsi="Verdana"/>
          <w:b/>
          <w:color w:val="000000" w:themeColor="text1"/>
          <w:sz w:val="16"/>
          <w:szCs w:val="16"/>
        </w:rPr>
        <w:br/>
        <w:t>[16] Buhârî, Kit. Cenaiz, bab: 34</w:t>
      </w:r>
      <w:r w:rsidRPr="00E441CD">
        <w:rPr>
          <w:rFonts w:ascii="Verdana" w:hAnsi="Verdana"/>
          <w:b/>
          <w:color w:val="000000" w:themeColor="text1"/>
          <w:sz w:val="16"/>
          <w:szCs w:val="16"/>
        </w:rPr>
        <w:br/>
        <w:t>[17] Buhârî, Kit. İlim, Bab: 38</w:t>
      </w:r>
      <w:r w:rsidRPr="00E441CD">
        <w:rPr>
          <w:rFonts w:ascii="Verdana" w:hAnsi="Verdana"/>
          <w:b/>
          <w:color w:val="000000" w:themeColor="text1"/>
          <w:sz w:val="16"/>
          <w:szCs w:val="16"/>
        </w:rPr>
        <w:br/>
        <w:t>[18] Tirmizî Kit. İlim Bab: 8, hn. 2660.</w:t>
      </w:r>
    </w:p>
    <w:p w:rsidR="00075D4B" w:rsidRPr="00E441CD" w:rsidRDefault="00075D4B" w:rsidP="00075D4B">
      <w:pPr>
        <w:widowControl w:val="0"/>
        <w:adjustRightInd w:val="0"/>
        <w:rPr>
          <w:rStyle w:val="textitalic"/>
          <w:rFonts w:ascii="Verdana" w:hAnsi="Verdana" w:cs="Arial"/>
          <w:b/>
          <w:color w:val="000000" w:themeColor="text1"/>
          <w:sz w:val="16"/>
          <w:szCs w:val="16"/>
        </w:rPr>
      </w:pPr>
      <w:hyperlink r:id="rId1" w:history="1">
        <w:r w:rsidRPr="00E441CD">
          <w:rPr>
            <w:rStyle w:val="Kpr"/>
            <w:rFonts w:ascii="Verdana" w:hAnsi="Verdana" w:cs="Arial"/>
            <w:b/>
            <w:color w:val="000000" w:themeColor="text1"/>
            <w:sz w:val="16"/>
            <w:szCs w:val="16"/>
          </w:rPr>
          <w:t>http://forum.islamiyet.gen.tr/sunnet-i-seniyye/64028-mutevatir-hadisleri-inkar-etmek-kufurdur.html</w:t>
        </w:r>
      </w:hyperlink>
    </w:p>
    <w:p w:rsidR="00075D4B" w:rsidRDefault="00075D4B">
      <w:pPr>
        <w:pStyle w:val="DipnotMetni"/>
      </w:pPr>
    </w:p>
  </w:footnote>
  <w:footnote w:id="2">
    <w:p w:rsidR="00C71A1C" w:rsidRPr="00075D4B" w:rsidRDefault="00C71A1C" w:rsidP="00C71A1C">
      <w:pPr>
        <w:widowControl w:val="0"/>
        <w:adjustRightInd w:val="0"/>
        <w:rPr>
          <w:rStyle w:val="textitalic"/>
          <w:rFonts w:ascii="Verdana" w:hAnsi="Verdana" w:cs="Arial"/>
          <w:b/>
          <w:color w:val="000000" w:themeColor="text1"/>
          <w:sz w:val="16"/>
          <w:szCs w:val="16"/>
        </w:rPr>
      </w:pPr>
      <w:r w:rsidRPr="00075D4B">
        <w:rPr>
          <w:rStyle w:val="DipnotBavurusu"/>
          <w:rFonts w:ascii="Verdana" w:hAnsi="Verdana"/>
          <w:b/>
          <w:sz w:val="16"/>
          <w:szCs w:val="16"/>
        </w:rPr>
        <w:footnoteRef/>
      </w:r>
      <w:r w:rsidRPr="00075D4B">
        <w:rPr>
          <w:rFonts w:ascii="Verdana" w:hAnsi="Verdana"/>
          <w:b/>
          <w:sz w:val="16"/>
          <w:szCs w:val="16"/>
        </w:rPr>
        <w:t xml:space="preserve"> </w:t>
      </w:r>
      <w:r w:rsidRPr="00075D4B">
        <w:rPr>
          <w:rStyle w:val="textitalic"/>
          <w:rFonts w:ascii="Verdana" w:hAnsi="Verdana" w:cs="Arial"/>
          <w:b/>
          <w:color w:val="000000" w:themeColor="text1"/>
          <w:sz w:val="16"/>
          <w:szCs w:val="16"/>
        </w:rPr>
        <w:t>-Serahsî, Usûlü’s-Serahsî, c. 1, s. 291; Abdü’l Aziz el-Buharî, Keşfu’l-Esrar an Usûli Fahri’l-İslâm el-Pezdevî, c. 2, s. 659</w:t>
      </w:r>
      <w:r w:rsidRPr="00075D4B">
        <w:rPr>
          <w:rFonts w:ascii="Verdana" w:hAnsi="Verdana" w:cs="Arial"/>
          <w:b/>
          <w:color w:val="000000" w:themeColor="text1"/>
          <w:sz w:val="16"/>
          <w:szCs w:val="16"/>
        </w:rPr>
        <w:br/>
      </w:r>
      <w:r w:rsidRPr="00075D4B">
        <w:rPr>
          <w:rStyle w:val="textitalic"/>
          <w:rFonts w:ascii="Verdana" w:hAnsi="Verdana" w:cs="Arial"/>
          <w:b/>
          <w:color w:val="000000" w:themeColor="text1"/>
          <w:sz w:val="16"/>
          <w:szCs w:val="16"/>
        </w:rPr>
        <w:t xml:space="preserve"> -Abdü’l-Â¼ani Abdü’l-Halık, Hücciyyetü’s-Sünne, s. 253</w:t>
      </w:r>
      <w:r w:rsidRPr="00075D4B">
        <w:rPr>
          <w:rFonts w:ascii="Verdana" w:hAnsi="Verdana" w:cs="Arial"/>
          <w:b/>
          <w:color w:val="000000" w:themeColor="text1"/>
          <w:sz w:val="16"/>
          <w:szCs w:val="16"/>
        </w:rPr>
        <w:br/>
      </w:r>
      <w:r w:rsidRPr="00075D4B">
        <w:rPr>
          <w:rStyle w:val="textitalic"/>
          <w:rFonts w:ascii="Verdana" w:hAnsi="Verdana" w:cs="Arial"/>
          <w:b/>
          <w:color w:val="000000" w:themeColor="text1"/>
          <w:sz w:val="16"/>
          <w:szCs w:val="16"/>
        </w:rPr>
        <w:t>- Abdü’l-Aziz el-Buharî, Keşfu’l-Esrar, c. 2, s. 671</w:t>
      </w:r>
      <w:r w:rsidRPr="00075D4B">
        <w:rPr>
          <w:rFonts w:ascii="Verdana" w:hAnsi="Verdana" w:cs="Arial"/>
          <w:b/>
          <w:color w:val="000000" w:themeColor="text1"/>
          <w:sz w:val="16"/>
          <w:szCs w:val="16"/>
        </w:rPr>
        <w:br/>
      </w:r>
      <w:r w:rsidRPr="00075D4B">
        <w:rPr>
          <w:rStyle w:val="textitalic"/>
          <w:rFonts w:ascii="Verdana" w:hAnsi="Verdana" w:cs="Arial"/>
          <w:b/>
          <w:color w:val="000000" w:themeColor="text1"/>
          <w:sz w:val="16"/>
          <w:szCs w:val="16"/>
        </w:rPr>
        <w:t>-M. Cemaleddin el-Kâsimî, Kavâidü’t-Tahdis min Fünuni Mustalahi’l-Hadis, s. 151; İbn Hacer, Şerhu’n-Nuhbe, s. 42.</w:t>
      </w:r>
    </w:p>
    <w:p w:rsidR="00C71A1C" w:rsidRPr="00075D4B" w:rsidRDefault="00C71A1C" w:rsidP="00C71A1C">
      <w:pPr>
        <w:widowControl w:val="0"/>
        <w:adjustRightInd w:val="0"/>
        <w:rPr>
          <w:rStyle w:val="textitalic"/>
          <w:rFonts w:ascii="Verdana" w:hAnsi="Verdana" w:cs="Arial"/>
          <w:b/>
          <w:color w:val="000000" w:themeColor="text1"/>
          <w:sz w:val="16"/>
          <w:szCs w:val="16"/>
        </w:rPr>
      </w:pPr>
      <w:hyperlink r:id="rId2" w:history="1">
        <w:r w:rsidRPr="00075D4B">
          <w:rPr>
            <w:rStyle w:val="Kpr"/>
            <w:rFonts w:ascii="Verdana" w:hAnsi="Verdana" w:cs="Arial"/>
            <w:b/>
            <w:color w:val="000000" w:themeColor="text1"/>
            <w:sz w:val="16"/>
            <w:szCs w:val="16"/>
          </w:rPr>
          <w:t>http://www.yeniumit.com.tr/yazdir.php?konu_id=141</w:t>
        </w:r>
      </w:hyperlink>
    </w:p>
    <w:p w:rsidR="00C71A1C" w:rsidRPr="00075D4B" w:rsidRDefault="00C71A1C" w:rsidP="00075D4B">
      <w:pPr>
        <w:widowControl w:val="0"/>
        <w:adjustRightInd w:val="0"/>
        <w:rPr>
          <w:rFonts w:ascii="Verdana" w:hAnsi="Verdana"/>
          <w:b/>
          <w:sz w:val="16"/>
          <w:szCs w:val="16"/>
        </w:rPr>
      </w:pPr>
      <w:hyperlink r:id="rId3" w:history="1">
        <w:r w:rsidRPr="00075D4B">
          <w:rPr>
            <w:rStyle w:val="Kpr"/>
            <w:rFonts w:ascii="Verdana" w:hAnsi="Verdana" w:cs="Arial"/>
            <w:b/>
            <w:color w:val="000000" w:themeColor="text1"/>
            <w:sz w:val="16"/>
            <w:szCs w:val="16"/>
          </w:rPr>
          <w:t>http://www.yeniumit.com.tr/konular.php?sayi_id=48&amp;konu_id=141&amp;yumit=bolum3</w:t>
        </w:r>
      </w:hyperlink>
    </w:p>
  </w:footnote>
  <w:footnote w:id="3">
    <w:p w:rsidR="005773F6" w:rsidRPr="00075D4B" w:rsidRDefault="005773F6">
      <w:pPr>
        <w:pStyle w:val="DipnotMetni"/>
        <w:rPr>
          <w:rFonts w:ascii="Verdana" w:hAnsi="Verdana"/>
          <w:b/>
          <w:sz w:val="16"/>
          <w:szCs w:val="16"/>
        </w:rPr>
      </w:pPr>
      <w:r w:rsidRPr="00075D4B">
        <w:rPr>
          <w:rStyle w:val="DipnotBavurusu"/>
          <w:rFonts w:ascii="Verdana" w:hAnsi="Verdana"/>
          <w:b/>
          <w:sz w:val="16"/>
          <w:szCs w:val="16"/>
        </w:rPr>
        <w:footnoteRef/>
      </w:r>
      <w:r w:rsidRPr="00075D4B">
        <w:rPr>
          <w:rFonts w:ascii="Verdana" w:hAnsi="Verdana"/>
          <w:b/>
          <w:sz w:val="16"/>
          <w:szCs w:val="16"/>
        </w:rPr>
        <w:t xml:space="preserve"> B.Said Nursi.19.Mektub.156, Buharî, Mağâzî: 11.</w:t>
      </w:r>
    </w:p>
  </w:footnote>
  <w:footnote w:id="4">
    <w:p w:rsidR="00440C8B" w:rsidRPr="00075D4B" w:rsidRDefault="00440C8B">
      <w:pPr>
        <w:pStyle w:val="DipnotMetni"/>
        <w:rPr>
          <w:rFonts w:ascii="Verdana" w:hAnsi="Verdana"/>
          <w:b/>
          <w:sz w:val="16"/>
          <w:szCs w:val="16"/>
        </w:rPr>
      </w:pPr>
      <w:r w:rsidRPr="00075D4B">
        <w:rPr>
          <w:rStyle w:val="DipnotBavurusu"/>
          <w:rFonts w:ascii="Verdana" w:hAnsi="Verdana"/>
          <w:b/>
          <w:sz w:val="16"/>
          <w:szCs w:val="16"/>
        </w:rPr>
        <w:footnoteRef/>
      </w:r>
      <w:r w:rsidRPr="00075D4B">
        <w:rPr>
          <w:rFonts w:ascii="Verdana" w:hAnsi="Verdana"/>
          <w:b/>
          <w:sz w:val="16"/>
          <w:szCs w:val="16"/>
        </w:rPr>
        <w:t xml:space="preserve"> Age.Mektubat.141.</w:t>
      </w:r>
    </w:p>
  </w:footnote>
  <w:footnote w:id="5">
    <w:p w:rsidR="00CF19DE" w:rsidRDefault="00CF19DE">
      <w:pPr>
        <w:pStyle w:val="DipnotMetni"/>
      </w:pPr>
      <w:r>
        <w:rPr>
          <w:rStyle w:val="DipnotBavurusu"/>
        </w:rPr>
        <w:footnoteRef/>
      </w:r>
      <w:r>
        <w:t xml:space="preserve"> B.Said Nursi.İşaratül-İcaz | Hurûf-u Mukattaa | 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0E5DA4"/>
    <w:rsid w:val="00024EE0"/>
    <w:rsid w:val="000360E3"/>
    <w:rsid w:val="00041FA7"/>
    <w:rsid w:val="0004229B"/>
    <w:rsid w:val="00043A87"/>
    <w:rsid w:val="00055B15"/>
    <w:rsid w:val="00075D4B"/>
    <w:rsid w:val="00082EE8"/>
    <w:rsid w:val="000B3B9C"/>
    <w:rsid w:val="000C785C"/>
    <w:rsid w:val="000D0DD9"/>
    <w:rsid w:val="000D1063"/>
    <w:rsid w:val="000E5DA4"/>
    <w:rsid w:val="001161AE"/>
    <w:rsid w:val="001D56B0"/>
    <w:rsid w:val="0022602C"/>
    <w:rsid w:val="00251835"/>
    <w:rsid w:val="00265863"/>
    <w:rsid w:val="0027449C"/>
    <w:rsid w:val="002C06E0"/>
    <w:rsid w:val="002E1172"/>
    <w:rsid w:val="003040F9"/>
    <w:rsid w:val="00312BD6"/>
    <w:rsid w:val="003133F1"/>
    <w:rsid w:val="00321BE2"/>
    <w:rsid w:val="00330F02"/>
    <w:rsid w:val="003315C0"/>
    <w:rsid w:val="00331FFE"/>
    <w:rsid w:val="00336858"/>
    <w:rsid w:val="00357BBB"/>
    <w:rsid w:val="003C1E9D"/>
    <w:rsid w:val="003C4326"/>
    <w:rsid w:val="003C6BE2"/>
    <w:rsid w:val="003D4AC9"/>
    <w:rsid w:val="004157C3"/>
    <w:rsid w:val="004214F6"/>
    <w:rsid w:val="00440C8B"/>
    <w:rsid w:val="004C3E84"/>
    <w:rsid w:val="004C4541"/>
    <w:rsid w:val="004C5DB6"/>
    <w:rsid w:val="004E15DD"/>
    <w:rsid w:val="004F7E2A"/>
    <w:rsid w:val="00535491"/>
    <w:rsid w:val="00566B8E"/>
    <w:rsid w:val="005773F6"/>
    <w:rsid w:val="00591474"/>
    <w:rsid w:val="005C6C17"/>
    <w:rsid w:val="005D1D88"/>
    <w:rsid w:val="005E192E"/>
    <w:rsid w:val="00624ECC"/>
    <w:rsid w:val="00653667"/>
    <w:rsid w:val="006641E4"/>
    <w:rsid w:val="00665013"/>
    <w:rsid w:val="00687646"/>
    <w:rsid w:val="006A7A3D"/>
    <w:rsid w:val="007068BE"/>
    <w:rsid w:val="007246B5"/>
    <w:rsid w:val="00736967"/>
    <w:rsid w:val="00742252"/>
    <w:rsid w:val="00774920"/>
    <w:rsid w:val="007763B4"/>
    <w:rsid w:val="007A20B4"/>
    <w:rsid w:val="007B19E3"/>
    <w:rsid w:val="007D546D"/>
    <w:rsid w:val="00822714"/>
    <w:rsid w:val="0087029A"/>
    <w:rsid w:val="008A5AC2"/>
    <w:rsid w:val="008B0D21"/>
    <w:rsid w:val="008B4CB3"/>
    <w:rsid w:val="008C58A2"/>
    <w:rsid w:val="008C6F6A"/>
    <w:rsid w:val="00903A91"/>
    <w:rsid w:val="00912AC1"/>
    <w:rsid w:val="00924BEE"/>
    <w:rsid w:val="009842EB"/>
    <w:rsid w:val="009B49DD"/>
    <w:rsid w:val="009C3826"/>
    <w:rsid w:val="009F6F94"/>
    <w:rsid w:val="00A02F58"/>
    <w:rsid w:val="00A432EB"/>
    <w:rsid w:val="00A77160"/>
    <w:rsid w:val="00AA0BD3"/>
    <w:rsid w:val="00AE398C"/>
    <w:rsid w:val="00AE5D4B"/>
    <w:rsid w:val="00B27174"/>
    <w:rsid w:val="00B271F4"/>
    <w:rsid w:val="00B33BAD"/>
    <w:rsid w:val="00B37F23"/>
    <w:rsid w:val="00B75DE1"/>
    <w:rsid w:val="00B80540"/>
    <w:rsid w:val="00BC34A1"/>
    <w:rsid w:val="00BC5B7E"/>
    <w:rsid w:val="00BD5085"/>
    <w:rsid w:val="00BE2C6D"/>
    <w:rsid w:val="00C1270D"/>
    <w:rsid w:val="00C36467"/>
    <w:rsid w:val="00C4285A"/>
    <w:rsid w:val="00C57EEA"/>
    <w:rsid w:val="00C71A1C"/>
    <w:rsid w:val="00CA57F9"/>
    <w:rsid w:val="00CA7F97"/>
    <w:rsid w:val="00CC6044"/>
    <w:rsid w:val="00CD3A00"/>
    <w:rsid w:val="00CE2CF7"/>
    <w:rsid w:val="00CE6052"/>
    <w:rsid w:val="00CF0935"/>
    <w:rsid w:val="00CF19DE"/>
    <w:rsid w:val="00CF27F5"/>
    <w:rsid w:val="00D30C39"/>
    <w:rsid w:val="00D35B73"/>
    <w:rsid w:val="00D40F8A"/>
    <w:rsid w:val="00D71103"/>
    <w:rsid w:val="00DE5A4A"/>
    <w:rsid w:val="00E0218A"/>
    <w:rsid w:val="00E441CD"/>
    <w:rsid w:val="00EB09B8"/>
    <w:rsid w:val="00EF17F7"/>
    <w:rsid w:val="00F0352A"/>
    <w:rsid w:val="00F4004D"/>
    <w:rsid w:val="00F551D8"/>
    <w:rsid w:val="00F614A8"/>
    <w:rsid w:val="00F70779"/>
    <w:rsid w:val="00FC430A"/>
    <w:rsid w:val="00FF57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27174"/>
    <w:rPr>
      <w:color w:val="800000"/>
      <w:u w:val="single"/>
    </w:rPr>
  </w:style>
  <w:style w:type="character" w:customStyle="1" w:styleId="textitalic">
    <w:name w:val="textitalic"/>
    <w:rsid w:val="00B27174"/>
  </w:style>
  <w:style w:type="paragraph" w:styleId="DipnotMetni">
    <w:name w:val="footnote text"/>
    <w:basedOn w:val="Normal"/>
    <w:link w:val="DipnotMetniChar"/>
    <w:uiPriority w:val="99"/>
    <w:semiHidden/>
    <w:unhideWhenUsed/>
    <w:rsid w:val="005773F6"/>
    <w:rPr>
      <w:sz w:val="20"/>
      <w:szCs w:val="20"/>
    </w:rPr>
  </w:style>
  <w:style w:type="character" w:customStyle="1" w:styleId="DipnotMetniChar">
    <w:name w:val="Dipnot Metni Char"/>
    <w:basedOn w:val="VarsaylanParagrafYazTipi"/>
    <w:link w:val="DipnotMetni"/>
    <w:uiPriority w:val="99"/>
    <w:semiHidden/>
    <w:rsid w:val="005773F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773F6"/>
    <w:rPr>
      <w:vertAlign w:val="superscript"/>
    </w:rPr>
  </w:style>
  <w:style w:type="paragraph" w:styleId="NormalWeb">
    <w:name w:val="Normal (Web)"/>
    <w:basedOn w:val="Normal"/>
    <w:uiPriority w:val="99"/>
    <w:semiHidden/>
    <w:unhideWhenUsed/>
    <w:rsid w:val="00440C8B"/>
    <w:pPr>
      <w:spacing w:before="100" w:beforeAutospacing="1" w:after="100" w:afterAutospacing="1"/>
    </w:pPr>
  </w:style>
  <w:style w:type="paragraph" w:styleId="BalonMetni">
    <w:name w:val="Balloon Text"/>
    <w:basedOn w:val="Normal"/>
    <w:link w:val="BalonMetniChar"/>
    <w:uiPriority w:val="99"/>
    <w:semiHidden/>
    <w:unhideWhenUsed/>
    <w:rsid w:val="00BD5085"/>
    <w:rPr>
      <w:rFonts w:ascii="Tahoma" w:hAnsi="Tahoma" w:cs="Tahoma"/>
      <w:sz w:val="16"/>
      <w:szCs w:val="16"/>
    </w:rPr>
  </w:style>
  <w:style w:type="character" w:customStyle="1" w:styleId="BalonMetniChar">
    <w:name w:val="Balon Metni Char"/>
    <w:basedOn w:val="VarsaylanParagrafYazTipi"/>
    <w:link w:val="BalonMetni"/>
    <w:uiPriority w:val="99"/>
    <w:semiHidden/>
    <w:rsid w:val="00BD508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7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174"/>
    <w:rPr>
      <w:color w:val="800000"/>
      <w:u w:val="single"/>
    </w:rPr>
  </w:style>
  <w:style w:type="character" w:customStyle="1" w:styleId="textitalic">
    <w:name w:val="textitalic"/>
    <w:rsid w:val="00B27174"/>
  </w:style>
</w:styles>
</file>

<file path=word/webSettings.xml><?xml version="1.0" encoding="utf-8"?>
<w:webSettings xmlns:r="http://schemas.openxmlformats.org/officeDocument/2006/relationships" xmlns:w="http://schemas.openxmlformats.org/wordprocessingml/2006/main">
  <w:divs>
    <w:div w:id="433789748">
      <w:bodyDiv w:val="1"/>
      <w:marLeft w:val="0"/>
      <w:marRight w:val="0"/>
      <w:marTop w:val="0"/>
      <w:marBottom w:val="0"/>
      <w:divBdr>
        <w:top w:val="none" w:sz="0" w:space="0" w:color="auto"/>
        <w:left w:val="none" w:sz="0" w:space="0" w:color="auto"/>
        <w:bottom w:val="none" w:sz="0" w:space="0" w:color="auto"/>
        <w:right w:val="none" w:sz="0" w:space="0" w:color="auto"/>
      </w:divBdr>
    </w:div>
    <w:div w:id="9935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yeniumit.com.tr/konular.php?sayi_id=48&amp;konu_id=141&amp;yumit=bolum3" TargetMode="External"/><Relationship Id="rId2" Type="http://schemas.openxmlformats.org/officeDocument/2006/relationships/hyperlink" Target="http://www.yeniumit.com.tr/yazdir.php?konu_id=141" TargetMode="External"/><Relationship Id="rId1" Type="http://schemas.openxmlformats.org/officeDocument/2006/relationships/hyperlink" Target="http://forum.islamiyet.gen.tr/sunnet-i-seniyye/64028-mutevatir-hadisleri-inkar-etmek-kufurd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1828-D22B-4B66-B05C-8B6A2D49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623</Words>
  <Characters>3554</Characters>
  <Application>Microsoft Office Word</Application>
  <DocSecurity>0</DocSecurity>
  <Lines>29</Lines>
  <Paragraphs>8</Paragraphs>
  <ScaleCrop>false</ScaleCrop>
  <Company>24-09-2008</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16</cp:revision>
  <dcterms:created xsi:type="dcterms:W3CDTF">2010-02-18T13:08:00Z</dcterms:created>
  <dcterms:modified xsi:type="dcterms:W3CDTF">2010-02-19T21:34:00Z</dcterms:modified>
</cp:coreProperties>
</file>